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7D3389C" w14:textId="565FCEDC" w:rsidR="006B712E" w:rsidRDefault="00DC31C7" w:rsidP="006B712E">
      <w:pPr>
        <w:jc w:val="center"/>
        <w:outlineLvl w:val="0"/>
        <w:rPr>
          <w:rFonts w:ascii="Times New Roman" w:hAnsi="Times New Roman"/>
          <w:b/>
          <w:szCs w:val="24"/>
        </w:rPr>
      </w:pPr>
      <w:r w:rsidRPr="00DC31C7">
        <w:rPr>
          <w:rFonts w:ascii="Times New Roman" w:hAnsi="Times New Roman"/>
          <w:b/>
          <w:bCs/>
          <w:lang w:eastAsia="lt-LT"/>
        </w:rPr>
        <w:t>TEISĖTVARKOS, JAUNIMO IR VISUOMENINIŲ ORGANIZACIJŲ</w:t>
      </w:r>
      <w:r w:rsidRPr="00DC31C7">
        <w:rPr>
          <w:rFonts w:ascii="Times New Roman" w:hAnsi="Times New Roman"/>
          <w:lang w:eastAsia="lt-LT"/>
        </w:rPr>
        <w:t xml:space="preserve"> </w:t>
      </w:r>
      <w:r w:rsidR="006B712E">
        <w:rPr>
          <w:rFonts w:ascii="Times New Roman" w:hAnsi="Times New Roman"/>
          <w:b/>
          <w:szCs w:val="24"/>
        </w:rPr>
        <w:t>KOMITETO</w:t>
      </w:r>
    </w:p>
    <w:p w14:paraId="1D2F64CF"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3E3B2327" w14:textId="77777777" w:rsidR="00B73AB3" w:rsidRPr="00B73AB3" w:rsidRDefault="00B73AB3" w:rsidP="00B73AB3">
      <w:pPr>
        <w:jc w:val="center"/>
        <w:outlineLvl w:val="0"/>
        <w:rPr>
          <w:rFonts w:ascii="Times New Roman" w:hAnsi="Times New Roman"/>
          <w:szCs w:val="24"/>
        </w:rPr>
      </w:pPr>
    </w:p>
    <w:p w14:paraId="7DC073B8" w14:textId="53993EBB" w:rsidR="006B712E" w:rsidRPr="00B4302F" w:rsidRDefault="006B712E" w:rsidP="006B712E">
      <w:pPr>
        <w:jc w:val="center"/>
        <w:rPr>
          <w:b/>
        </w:rPr>
      </w:pPr>
      <w:r w:rsidRPr="00B4302F">
        <w:rPr>
          <w:rFonts w:ascii="Times New Roman" w:hAnsi="Times New Roman"/>
          <w:b/>
          <w:szCs w:val="24"/>
        </w:rPr>
        <w:t>Posėdis vyks 20</w:t>
      </w:r>
      <w:r w:rsidR="00A068A9">
        <w:rPr>
          <w:rFonts w:ascii="Times New Roman" w:hAnsi="Times New Roman"/>
          <w:b/>
          <w:szCs w:val="24"/>
        </w:rPr>
        <w:t>2</w:t>
      </w:r>
      <w:r w:rsidR="00356EC9">
        <w:rPr>
          <w:rFonts w:ascii="Times New Roman" w:hAnsi="Times New Roman"/>
          <w:b/>
          <w:szCs w:val="24"/>
        </w:rPr>
        <w:t>3</w:t>
      </w:r>
      <w:r w:rsidRPr="00B4302F">
        <w:rPr>
          <w:rFonts w:ascii="Times New Roman" w:hAnsi="Times New Roman"/>
          <w:b/>
          <w:szCs w:val="24"/>
        </w:rPr>
        <w:t xml:space="preserve"> m. </w:t>
      </w:r>
      <w:r w:rsidR="00CA1276">
        <w:rPr>
          <w:rFonts w:ascii="Times New Roman" w:hAnsi="Times New Roman"/>
          <w:b/>
          <w:szCs w:val="24"/>
        </w:rPr>
        <w:t xml:space="preserve">birželio </w:t>
      </w:r>
      <w:r w:rsidR="007735AF">
        <w:rPr>
          <w:rFonts w:ascii="Times New Roman" w:hAnsi="Times New Roman"/>
          <w:b/>
          <w:szCs w:val="24"/>
        </w:rPr>
        <w:t>27</w:t>
      </w:r>
      <w:r w:rsidRPr="00B4302F">
        <w:rPr>
          <w:rFonts w:ascii="Times New Roman" w:hAnsi="Times New Roman"/>
          <w:b/>
          <w:szCs w:val="24"/>
        </w:rPr>
        <w:t xml:space="preserve"> d. </w:t>
      </w:r>
      <w:r w:rsidR="0083226D">
        <w:rPr>
          <w:b/>
        </w:rPr>
        <w:t>1</w:t>
      </w:r>
      <w:r w:rsidR="00DC31C7">
        <w:rPr>
          <w:b/>
        </w:rPr>
        <w:t>1</w:t>
      </w:r>
      <w:r w:rsidRPr="00B4302F">
        <w:rPr>
          <w:b/>
        </w:rPr>
        <w:t>:00 val.  I</w:t>
      </w:r>
      <w:r w:rsidR="0083226D">
        <w:rPr>
          <w:b/>
        </w:rPr>
        <w:t>II</w:t>
      </w:r>
      <w:r w:rsidRPr="00B4302F">
        <w:rPr>
          <w:b/>
        </w:rPr>
        <w:t xml:space="preserve"> a. </w:t>
      </w:r>
      <w:r w:rsidR="0083226D">
        <w:rPr>
          <w:b/>
        </w:rPr>
        <w:t>304</w:t>
      </w:r>
      <w:r w:rsidRPr="00B4302F">
        <w:rPr>
          <w:b/>
        </w:rPr>
        <w:t xml:space="preserve"> kab. J. Biliūno g. 23, Anykščiai</w:t>
      </w:r>
    </w:p>
    <w:p w14:paraId="5B2450E7" w14:textId="7D37733B" w:rsidR="00B15B0B" w:rsidRDefault="00B15B0B" w:rsidP="006B712E">
      <w:pPr>
        <w:jc w:val="center"/>
      </w:pPr>
    </w:p>
    <w:bookmarkEnd w:id="0"/>
    <w:p w14:paraId="7A89DAD9" w14:textId="59F5E839" w:rsidR="006B712E" w:rsidRDefault="006B712E" w:rsidP="004118D0">
      <w:pPr>
        <w:jc w:val="both"/>
      </w:pPr>
    </w:p>
    <w:p w14:paraId="39086C38"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1. Dėl Anykščių rajono savivaldybės tarybos 2023 m. vasario 2 d. sprendimo Nr. 1-TS-33 „Dėl Anykščių rajono savivaldybės 2023 metų biudžeto patvirtinimo“ pakeitimo (1-T-189). </w:t>
      </w:r>
    </w:p>
    <w:p w14:paraId="132C637C"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7735AF">
        <w:rPr>
          <w:rFonts w:ascii="Times New Roman" w:eastAsiaTheme="minorHAnsi" w:hAnsi="Times New Roman"/>
          <w:b/>
          <w:bCs/>
          <w:kern w:val="2"/>
          <w:szCs w:val="24"/>
          <w14:ligatures w14:val="standardContextual"/>
        </w:rPr>
        <w:t xml:space="preserve">            Pranešėja – </w:t>
      </w:r>
      <w:proofErr w:type="spellStart"/>
      <w:r w:rsidRPr="007735AF">
        <w:rPr>
          <w:rFonts w:ascii="Times New Roman" w:eastAsiaTheme="minorHAnsi" w:hAnsi="Times New Roman"/>
          <w:b/>
          <w:bCs/>
          <w:kern w:val="2"/>
          <w:szCs w:val="24"/>
          <w14:ligatures w14:val="standardContextual"/>
        </w:rPr>
        <w:t>Danuta</w:t>
      </w:r>
      <w:proofErr w:type="spellEnd"/>
      <w:r w:rsidRPr="007735AF">
        <w:rPr>
          <w:rFonts w:ascii="Times New Roman" w:eastAsiaTheme="minorHAnsi" w:hAnsi="Times New Roman"/>
          <w:b/>
          <w:bCs/>
          <w:kern w:val="2"/>
          <w:szCs w:val="24"/>
          <w14:ligatures w14:val="standardContextual"/>
        </w:rPr>
        <w:t xml:space="preserve"> </w:t>
      </w:r>
      <w:proofErr w:type="spellStart"/>
      <w:r w:rsidRPr="007735AF">
        <w:rPr>
          <w:rFonts w:ascii="Times New Roman" w:eastAsiaTheme="minorHAnsi" w:hAnsi="Times New Roman"/>
          <w:b/>
          <w:bCs/>
          <w:kern w:val="2"/>
          <w:szCs w:val="24"/>
          <w14:ligatures w14:val="standardContextual"/>
        </w:rPr>
        <w:t>Gruzinskienė</w:t>
      </w:r>
      <w:proofErr w:type="spellEnd"/>
    </w:p>
    <w:p w14:paraId="28F135EF"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2. Dėl pritarimo Anykščių rajono savivaldybės 2022–2024 metų strateginio veiklos plano įgyvendinimo 2022 metais ataskaitai (1-T-190). </w:t>
      </w:r>
    </w:p>
    <w:p w14:paraId="48AED9E8"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3. Dėl Anykščių rajono savivaldybės strateginio planavimo priežiūros komisijos sudarymo ir jos nuostatų patvirtinimo (1-T-219).</w:t>
      </w:r>
    </w:p>
    <w:p w14:paraId="76EA6914"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4. Dėl Anykščių rajono savivaldybės tarybos 2022 m. birželio 3 d. sprendimo Nr. 1-TS-180 „Dėl paramos teikimo smulkiojo ir vidutinio verslo subjektams tvarkos aprašo patvirtinimo“ pakeitimo (1-T-191). </w:t>
      </w:r>
    </w:p>
    <w:p w14:paraId="19CE0F44"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5. Dėl pritarimo Lietuvos Respublikos ekonomikos ir inovacijų ministerijos ekonomikos transformacijos ir konkurencingumo plėtros programos pažangos priemonės Nr. 05-001-01-08-09 „Skatinti verslumą ir kurti paskatas įmonių augimui“  kvietimo viešosios įstaigos Anykščių menų inkubatoriaus-menų studijos projektui „VšĮ Anykščių menų inkubatorius-menų studijos </w:t>
      </w:r>
      <w:proofErr w:type="spellStart"/>
      <w:r w:rsidRPr="007735AF">
        <w:rPr>
          <w:rFonts w:ascii="Times New Roman" w:eastAsiaTheme="minorHAnsi" w:hAnsi="Times New Roman"/>
          <w:kern w:val="2"/>
          <w:szCs w:val="24"/>
          <w14:ligatures w14:val="standardContextual"/>
        </w:rPr>
        <w:t>akceleravimo</w:t>
      </w:r>
      <w:proofErr w:type="spellEnd"/>
      <w:r w:rsidRPr="007735AF">
        <w:rPr>
          <w:rFonts w:ascii="Times New Roman" w:eastAsiaTheme="minorHAnsi" w:hAnsi="Times New Roman"/>
          <w:kern w:val="2"/>
          <w:szCs w:val="24"/>
          <w14:ligatures w14:val="standardContextual"/>
        </w:rPr>
        <w:t xml:space="preserve">, </w:t>
      </w:r>
      <w:proofErr w:type="spellStart"/>
      <w:r w:rsidRPr="007735AF">
        <w:rPr>
          <w:rFonts w:ascii="Times New Roman" w:eastAsiaTheme="minorHAnsi" w:hAnsi="Times New Roman"/>
          <w:kern w:val="2"/>
          <w:szCs w:val="24"/>
          <w14:ligatures w14:val="standardContextual"/>
        </w:rPr>
        <w:t>inkubavimo</w:t>
      </w:r>
      <w:proofErr w:type="spellEnd"/>
      <w:r w:rsidRPr="007735AF">
        <w:rPr>
          <w:rFonts w:ascii="Times New Roman" w:eastAsiaTheme="minorHAnsi" w:hAnsi="Times New Roman"/>
          <w:kern w:val="2"/>
          <w:szCs w:val="24"/>
          <w14:ligatures w14:val="standardContextual"/>
        </w:rPr>
        <w:t xml:space="preserve"> ir mentorystės programa, skatinanti pradedančiųjų SVV subjektų kūrimąsi ir augimą“ (1-T-198). </w:t>
      </w:r>
    </w:p>
    <w:p w14:paraId="112C65DE"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6. Dėl pritarimo projekto „Anykščių rajono šeimos ir vaiko gerovės centro teikiamų paslaugų vaikams ir jų šeimos nariams prieinamumo didinimas“ finansavimo sutarties nutraukimui ir Anykščių rajono savivaldybės tarybos 2020 m. rugpjūčio 27 d. sprendimo Nr. 1-TS-246 „Dėl pritarimo projekto „Anykščių rajono šeimos ir vaiko gerovės centro teikiamų paslaugų vaikams ir jų šeimos nariams prieinamumo didinimas“ teikimui ir įgyvendinimui“ pripažinimo netekusiu galios (1-T-217).</w:t>
      </w:r>
    </w:p>
    <w:p w14:paraId="6F4CB808"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7735AF">
        <w:rPr>
          <w:rFonts w:ascii="Times New Roman" w:eastAsiaTheme="minorHAnsi" w:hAnsi="Times New Roman"/>
          <w:b/>
          <w:bCs/>
          <w:kern w:val="2"/>
          <w:szCs w:val="24"/>
          <w14:ligatures w14:val="standardContextual"/>
        </w:rPr>
        <w:t xml:space="preserve">            Pranešėja – Jolanta Jucevičienė</w:t>
      </w:r>
    </w:p>
    <w:p w14:paraId="6D3D088F"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7. Dėl Anykščių rajono savivaldybės jaunimo reikalų tarybos sudėties patvirtinimo (1-T-216).</w:t>
      </w:r>
    </w:p>
    <w:p w14:paraId="597E4751"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7735AF">
        <w:rPr>
          <w:rFonts w:ascii="Times New Roman" w:eastAsiaTheme="minorHAnsi" w:hAnsi="Times New Roman"/>
          <w:b/>
          <w:bCs/>
          <w:kern w:val="2"/>
          <w:szCs w:val="24"/>
          <w14:ligatures w14:val="standardContextual"/>
        </w:rPr>
        <w:t xml:space="preserve">            Pranešėja – Inga Beresnevičiūtė</w:t>
      </w:r>
    </w:p>
    <w:p w14:paraId="5C82C185"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lastRenderedPageBreak/>
        <w:t xml:space="preserve">            8. Dėl mokėjimo už socialines paslaugas Anykščių rajono savivaldybėje tvarkos aprašo patvirtinimo (1-T-215).</w:t>
      </w:r>
    </w:p>
    <w:p w14:paraId="1F46F604"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7735AF">
        <w:rPr>
          <w:rFonts w:ascii="Times New Roman" w:eastAsiaTheme="minorHAnsi" w:hAnsi="Times New Roman"/>
          <w:b/>
          <w:bCs/>
          <w:kern w:val="2"/>
          <w:szCs w:val="24"/>
          <w14:ligatures w14:val="standardContextual"/>
        </w:rPr>
        <w:t xml:space="preserve">            Pranešėja – Vaida  Laurukėnienė</w:t>
      </w:r>
    </w:p>
    <w:p w14:paraId="0058C41C"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9. Dėl Anykščių rajono savivaldybės garbės piliečio vardo suteikimo (1-T-208). </w:t>
      </w:r>
    </w:p>
    <w:p w14:paraId="686812AD"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7735AF">
        <w:rPr>
          <w:rFonts w:ascii="Times New Roman" w:eastAsiaTheme="minorHAnsi" w:hAnsi="Times New Roman"/>
          <w:b/>
          <w:bCs/>
          <w:kern w:val="2"/>
          <w:szCs w:val="24"/>
          <w14:ligatures w14:val="standardContextual"/>
        </w:rPr>
        <w:t xml:space="preserve">            Pranešėja – Kristina Jakubauskaitė-Veršelienė</w:t>
      </w:r>
    </w:p>
    <w:p w14:paraId="7BA17301"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10. Dėl Anykščių rajono savivaldybės tarybos 2023 m. vasario 23 d. sprendimo Nr. 1-TS-58  „Dėl Anykščių r. Svėdasų Juozo Tumo-Vaižganto gimnazijos struktūros pertvarkos, pavadinimo pakeitimo ir Anykščių r. Svėdasų Juozo Tumo-Vaižganto pagrindinės mokyklos nuostatų patvirtinimo“ pripažinimo netekusiu galios (1-T-192). </w:t>
      </w:r>
    </w:p>
    <w:p w14:paraId="7BC5D4C3"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11. Dėl didžiausio leistino darbuotojų, dirbančių pagal darbo sutartis, pareigybių skaičiaus Anykščių vaikų lopšelyje-darželyje ,,Eglutė“ patvirtinimo (1-T-193). </w:t>
      </w:r>
    </w:p>
    <w:p w14:paraId="6F803027"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12. Dėl didžiausio leistino darbuotojų, dirbančių pagal darbo sutartis, pareigybių skaičiaus Anykščių vaikų lopšelyje-darželyje ,,Spindulėlis“ patvirtinimo (1-T-196). </w:t>
      </w:r>
    </w:p>
    <w:p w14:paraId="23C436FD"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13. Dėl Anykščių kūno kultūros ir sporto centro teikiamų paslaugų kainų nustatymo (1-T-194). </w:t>
      </w:r>
    </w:p>
    <w:p w14:paraId="397E5443"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14. Dėl Anykščių rajono savivaldybės tarybos 2017 m. spalio 26 d. sprendimo Nr. 1-TS-285 „Dėl atlyginimo už vaikų, ugdomų pagal ikimokyklinio ugdymo programas, išlaikymą Anykščių rajono savivaldybės ugdymo įstaigose tvarkos aprašo patvirtinimo“ pakeitimo (1-T-195). </w:t>
      </w:r>
    </w:p>
    <w:p w14:paraId="3E736BB3"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15. Dėl Anykščių rajono savivaldybės tarybos 2020 m. gegužės 28 d. sprendimo Nr. 1-TS-149 „Dėl atlyginimo dydžio ir lengvatų už neformalųjį vaikų ir suaugusiųjų švietimą Anykščių meno mokykloje bei Anykščių kūno kultūros ir sporto centre nustatymo“ pakeitimo (1-T-197). </w:t>
      </w:r>
    </w:p>
    <w:p w14:paraId="6CF7984D"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16. Dėl Anykščių rajono savivaldybės gabių mokinių ir jų mokytojų skatinimo tvarkos aprašo patvirtinimo (1-T-218).</w:t>
      </w:r>
    </w:p>
    <w:p w14:paraId="719ABFD9"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7735AF">
        <w:rPr>
          <w:rFonts w:ascii="Times New Roman" w:eastAsiaTheme="minorHAnsi" w:hAnsi="Times New Roman"/>
          <w:b/>
          <w:bCs/>
          <w:kern w:val="2"/>
          <w:szCs w:val="24"/>
          <w14:ligatures w14:val="standardContextual"/>
        </w:rPr>
        <w:t xml:space="preserve">            Pranešėja – Nijolė Pranckevičienė</w:t>
      </w:r>
    </w:p>
    <w:p w14:paraId="58BEEE07"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17. Dėl Anykščių rajono savivaldybės tarybos 2020 m. rugsėjo 24 d. sprendimo Nr. 1-TS-272 „Dėl viešosios įstaigos Anykščių rajono psichikos sveikatos centro stebėtojų tarybos sudarymo” pakeitimo (1-T-199). </w:t>
      </w:r>
    </w:p>
    <w:p w14:paraId="2FBE68AC"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18. Dėl Anykščių rajono savivaldybės narkotikų kontrolės komisijos sudarymo ir jos nuostatų patvirtinimo (1-T-200). </w:t>
      </w:r>
    </w:p>
    <w:p w14:paraId="36C25811"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19. Dėl Anykščių rajono savivaldybės visuomenės sveikatos biuro  nuostatų patvirtinimo (1-T-201). </w:t>
      </w:r>
    </w:p>
    <w:p w14:paraId="58B945E3"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20. Dėl Anykščių rajono savivaldybės tarybos 2020 m. rugsėjo 24 d. sprendimo Nr. 1-TS-295 „Dėl viešosios įstaigos Anykščių rajono savivaldybės pirminės sveikatos priežiūros centro stebėtojų tarybos sudarymo” pakeitimo (1-T-209). </w:t>
      </w:r>
    </w:p>
    <w:p w14:paraId="56BAFAC4"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7735AF">
        <w:rPr>
          <w:rFonts w:ascii="Times New Roman" w:eastAsiaTheme="minorHAnsi" w:hAnsi="Times New Roman"/>
          <w:b/>
          <w:bCs/>
          <w:kern w:val="2"/>
          <w:szCs w:val="24"/>
          <w14:ligatures w14:val="standardContextual"/>
        </w:rPr>
        <w:t xml:space="preserve">            Pranešėja – Vaiva Daugelavičienė</w:t>
      </w:r>
    </w:p>
    <w:p w14:paraId="5E332138"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21. Dėl Anykščių rajono savivaldybės tarybos 2015 m. gruodžio 17 d. sprendimo Nr. 1-TS-353 „Dėl atstovavimo Anykščių rajono savivaldybei viešosiose įstaigose taisyklių patvirtinimo“ pripažinimo netekusiu galios (1-T-202). </w:t>
      </w:r>
    </w:p>
    <w:p w14:paraId="6A8E5063"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22. Dėl trumpalaikio materialiojo turto perėmimo Anykščių rajono savivaldybės nuosavybėn ir jo perdavimo valdyti, naudoti ir disponuoti juo patikėjimo teise (1-T-203). </w:t>
      </w:r>
    </w:p>
    <w:p w14:paraId="70AEC725"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23. Dėl nuomos sutarties su Telia Lietuva, AB atnaujinimo (1-T-204). </w:t>
      </w:r>
    </w:p>
    <w:p w14:paraId="7C1AC6D5"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24. Dėl turto perdavimo Anykščių Antano Baranausko pagrindinei mokyklai valdyti, naudoti ir disponuoti juo patikėjimo teise (1-T-205). </w:t>
      </w:r>
    </w:p>
    <w:p w14:paraId="2A4AC4E7"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25. Dėl buto Statybininkų g. 10-39, Anykščiai įrašymo į tarnybinių gyvenamųjų patalpų sąrašą (1-T-206). </w:t>
      </w:r>
    </w:p>
    <w:p w14:paraId="11709E93"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26. Dėl Anykščių rajono savivaldybės tarybos 2020 m. vasario 27 d. sprendimo Nr. 1-TS-71 „Dėl viešame aukcione parduodamo Anykščių rajono savivaldybės nekilnojamojo turto ir kitų nekilnojamųjų daiktų sąrašo patvirtinimo“ pakeitimo (1-T-207). </w:t>
      </w:r>
    </w:p>
    <w:p w14:paraId="288019E9"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27. Dėl atleidimo nuo socialinio būsto nuomos mokesčio mokėjimo (1-T-210). </w:t>
      </w:r>
    </w:p>
    <w:p w14:paraId="556ED570"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28. Dėl viešajai įstaigai „Sveikatos oazė“  perduodamo dalininko įnašo (1-T-211). </w:t>
      </w:r>
    </w:p>
    <w:p w14:paraId="17FF02B5"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29. Dėl Anykščių rajono savivaldybės tarybos 2015 m. Spalio 22 d. sprendimo Nr. 1-TS-309 „Dėl parduodamų Anykščių rajono savivaldybės būstų sąrašo sudarymo“ pakeitimo (1-T-213). </w:t>
      </w:r>
    </w:p>
    <w:p w14:paraId="2D178524"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30. Dėl buto </w:t>
      </w:r>
      <w:proofErr w:type="spellStart"/>
      <w:r w:rsidRPr="007735AF">
        <w:rPr>
          <w:rFonts w:ascii="Times New Roman" w:eastAsiaTheme="minorHAnsi" w:hAnsi="Times New Roman"/>
          <w:kern w:val="2"/>
          <w:szCs w:val="24"/>
          <w14:ligatures w14:val="standardContextual"/>
        </w:rPr>
        <w:t>Moliakanio</w:t>
      </w:r>
      <w:proofErr w:type="spellEnd"/>
      <w:r w:rsidRPr="007735AF">
        <w:rPr>
          <w:rFonts w:ascii="Times New Roman" w:eastAsiaTheme="minorHAnsi" w:hAnsi="Times New Roman"/>
          <w:kern w:val="2"/>
          <w:szCs w:val="24"/>
          <w14:ligatures w14:val="standardContextual"/>
        </w:rPr>
        <w:t xml:space="preserve"> g. 3-4, Svėdasai, Anykščių r. sav. pardavimo (1-T-212). </w:t>
      </w:r>
    </w:p>
    <w:p w14:paraId="7A5B7012"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31. Dėl valstybės turto perėmimo savivaldybės nuosavybėn ir šio turto perdavimo Anykščių rajono savivaldybės administracijai valdyti, naudoti ir disponuoti juo patikėjimo teise (1-T-214). </w:t>
      </w:r>
    </w:p>
    <w:p w14:paraId="20E75302"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32. Dėl etikos komisijos sudarymo ir jos nuostatų patvirtinimo (1-T-226).</w:t>
      </w:r>
    </w:p>
    <w:p w14:paraId="65683FED"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33. Dėl antikorupcijos komisijos sudarymo ir jos nuostatų patvirtinimo (1-T-225).</w:t>
      </w:r>
    </w:p>
    <w:p w14:paraId="6B695CE2"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34. Dėl Anykščių rajono savivaldybės tarybos kontrolės komiteto sudarymo (1-T-227).</w:t>
      </w:r>
    </w:p>
    <w:p w14:paraId="441D389F"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35. Dėl Anykščių rajono savivaldybės tarybos etikos komisijos pirmininko paskyrimo (1-T-224).</w:t>
      </w:r>
    </w:p>
    <w:p w14:paraId="3012029B"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36. Dėl Anykščių rajono savivaldybės tarybos antikorupcijos komisijos pirmininko paskyrimo (1-T-223)</w:t>
      </w:r>
    </w:p>
    <w:p w14:paraId="3DFABBCA"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37. Dėl Anykščių rajono savivaldybės tarybos kontrolės komiteto pirmininko ir pirmininko pavaduotojo paskyrimo (1-T-220).</w:t>
      </w:r>
    </w:p>
    <w:p w14:paraId="57031929"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38. Dėl Anykščių rajono savivaldybės tarybos etikos komisijos pirmininko pavaduotojo paskyrimo (1-T-223).</w:t>
      </w:r>
    </w:p>
    <w:p w14:paraId="2CE91F80"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kern w:val="2"/>
          <w:szCs w:val="24"/>
          <w14:ligatures w14:val="standardContextual"/>
        </w:rPr>
      </w:pPr>
      <w:r w:rsidRPr="007735AF">
        <w:rPr>
          <w:rFonts w:ascii="Times New Roman" w:eastAsiaTheme="minorHAnsi" w:hAnsi="Times New Roman"/>
          <w:kern w:val="2"/>
          <w:szCs w:val="24"/>
          <w14:ligatures w14:val="standardContextual"/>
        </w:rPr>
        <w:t xml:space="preserve">            39. Dėl Anykščių rajono savivaldybės tarybos antikorupcijos komisijos pirmininko pavaduotojo paskyrimo (1-T-221).</w:t>
      </w:r>
    </w:p>
    <w:p w14:paraId="066A30AB" w14:textId="77777777" w:rsidR="007735AF" w:rsidRPr="007735AF" w:rsidRDefault="007735AF" w:rsidP="007735AF">
      <w:pPr>
        <w:overflowPunct/>
        <w:autoSpaceDE/>
        <w:autoSpaceDN/>
        <w:adjustRightInd/>
        <w:spacing w:after="160" w:line="360" w:lineRule="auto"/>
        <w:jc w:val="both"/>
        <w:textAlignment w:val="auto"/>
        <w:rPr>
          <w:rFonts w:ascii="Times New Roman" w:eastAsiaTheme="minorHAnsi" w:hAnsi="Times New Roman"/>
          <w:b/>
          <w:bCs/>
          <w:kern w:val="2"/>
          <w:szCs w:val="24"/>
          <w14:ligatures w14:val="standardContextual"/>
        </w:rPr>
      </w:pPr>
      <w:r w:rsidRPr="007735AF">
        <w:rPr>
          <w:rFonts w:ascii="Times New Roman" w:eastAsiaTheme="minorHAnsi" w:hAnsi="Times New Roman"/>
          <w:b/>
          <w:bCs/>
          <w:kern w:val="2"/>
          <w:szCs w:val="24"/>
          <w14:ligatures w14:val="standardContextual"/>
        </w:rPr>
        <w:t xml:space="preserve">            Pranešėja – Vilma Vilkickaitė</w:t>
      </w:r>
    </w:p>
    <w:p w14:paraId="49DAB1A4" w14:textId="77777777" w:rsidR="00472CDE" w:rsidRDefault="00472CDE" w:rsidP="007735AF">
      <w:pPr>
        <w:overflowPunct/>
        <w:autoSpaceDE/>
        <w:autoSpaceDN/>
        <w:adjustRightInd/>
        <w:spacing w:line="360" w:lineRule="auto"/>
        <w:ind w:firstLine="1296"/>
        <w:jc w:val="both"/>
        <w:textAlignment w:val="auto"/>
      </w:pPr>
    </w:p>
    <w:sectPr w:rsidR="00472CD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480AD" w14:textId="77777777" w:rsidR="009A7F86" w:rsidRDefault="009A7F86">
      <w:r>
        <w:separator/>
      </w:r>
    </w:p>
  </w:endnote>
  <w:endnote w:type="continuationSeparator" w:id="0">
    <w:p w14:paraId="499F84B6" w14:textId="77777777" w:rsidR="009A7F86" w:rsidRDefault="009A7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EB6AD" w14:textId="77777777" w:rsidR="009A7F86" w:rsidRDefault="009A7F86">
      <w:r>
        <w:separator/>
      </w:r>
    </w:p>
  </w:footnote>
  <w:footnote w:type="continuationSeparator" w:id="0">
    <w:p w14:paraId="1E06CE8D" w14:textId="77777777" w:rsidR="009A7F86" w:rsidRDefault="009A7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B05CEA"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B05CEA"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2116AD"/>
    <w:rsid w:val="00290C07"/>
    <w:rsid w:val="002E1944"/>
    <w:rsid w:val="003114F9"/>
    <w:rsid w:val="00316F51"/>
    <w:rsid w:val="00356856"/>
    <w:rsid w:val="00356EC9"/>
    <w:rsid w:val="004118D0"/>
    <w:rsid w:val="00421D7F"/>
    <w:rsid w:val="00432611"/>
    <w:rsid w:val="00472CDE"/>
    <w:rsid w:val="004A4DF1"/>
    <w:rsid w:val="004E1412"/>
    <w:rsid w:val="00564B2D"/>
    <w:rsid w:val="006165C2"/>
    <w:rsid w:val="00625C20"/>
    <w:rsid w:val="00672374"/>
    <w:rsid w:val="006B712E"/>
    <w:rsid w:val="007735AF"/>
    <w:rsid w:val="0078685F"/>
    <w:rsid w:val="00795CAB"/>
    <w:rsid w:val="00816523"/>
    <w:rsid w:val="00827106"/>
    <w:rsid w:val="00827166"/>
    <w:rsid w:val="0083226D"/>
    <w:rsid w:val="00844332"/>
    <w:rsid w:val="008A19AD"/>
    <w:rsid w:val="00953393"/>
    <w:rsid w:val="009A7F86"/>
    <w:rsid w:val="009C76C8"/>
    <w:rsid w:val="009D40D5"/>
    <w:rsid w:val="00A068A9"/>
    <w:rsid w:val="00A351C3"/>
    <w:rsid w:val="00B15B0B"/>
    <w:rsid w:val="00B4302F"/>
    <w:rsid w:val="00B73AB3"/>
    <w:rsid w:val="00C1479B"/>
    <w:rsid w:val="00C22B28"/>
    <w:rsid w:val="00C95454"/>
    <w:rsid w:val="00CA1276"/>
    <w:rsid w:val="00CB508C"/>
    <w:rsid w:val="00CC3700"/>
    <w:rsid w:val="00CE4F3C"/>
    <w:rsid w:val="00D5199A"/>
    <w:rsid w:val="00D95D73"/>
    <w:rsid w:val="00DC31C7"/>
    <w:rsid w:val="00E871CC"/>
    <w:rsid w:val="00EA7427"/>
    <w:rsid w:val="00ED1713"/>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4654</Words>
  <Characters>2653</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2023-06-22T13:08:00Z</dcterms:created>
  <dcterms:modified xsi:type="dcterms:W3CDTF">2023-06-22T13:08:00Z</dcterms:modified>
</cp:coreProperties>
</file>